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DDC43" w14:textId="48B150B4" w:rsidR="009925C4" w:rsidRDefault="009925C4" w:rsidP="005A4C4E">
      <w:pPr>
        <w:jc w:val="center"/>
        <w:rPr>
          <w:b/>
        </w:rPr>
      </w:pPr>
      <w:r>
        <w:rPr>
          <w:b/>
        </w:rPr>
        <w:t>Standing Rock and D</w:t>
      </w:r>
      <w:r w:rsidR="005A4C4E">
        <w:rPr>
          <w:b/>
        </w:rPr>
        <w:t>akota Access Pipeline Resources</w:t>
      </w:r>
      <w:bookmarkStart w:id="0" w:name="_GoBack"/>
      <w:bookmarkEnd w:id="0"/>
    </w:p>
    <w:p w14:paraId="5BF03A0C" w14:textId="13720118" w:rsidR="000865B3" w:rsidRDefault="00D50F5F" w:rsidP="00D50F5F">
      <w:pPr>
        <w:rPr>
          <w:i/>
        </w:rPr>
      </w:pPr>
      <w:r w:rsidRPr="00B5660D">
        <w:rPr>
          <w:i/>
        </w:rPr>
        <w:t>When introducing the Standing Rock protests o</w:t>
      </w:r>
      <w:r w:rsidR="00164E79">
        <w:rPr>
          <w:i/>
        </w:rPr>
        <w:t>f</w:t>
      </w:r>
      <w:r w:rsidRPr="00B5660D">
        <w:rPr>
          <w:i/>
        </w:rPr>
        <w:t xml:space="preserve"> the Dakota Access Pipeline in class, we discussed some basic background information about the tribes and also watched three videos: one giving historical background on the Oahe Dam (see </w:t>
      </w:r>
      <w:hyperlink r:id="rId5" w:history="1">
        <w:r w:rsidRPr="00AB0E45">
          <w:rPr>
            <w:rStyle w:val="Hyperlink"/>
          </w:rPr>
          <w:t>https://www.revealnews.org/article/the-land-beneath-the-lake/</w:t>
        </w:r>
      </w:hyperlink>
      <w:r w:rsidR="000865B3" w:rsidRPr="00B5660D">
        <w:rPr>
          <w:i/>
        </w:rPr>
        <w:t xml:space="preserve"> ); one about the DAPL controversy from the Standing Rock perspective (see </w:t>
      </w:r>
      <w:hyperlink r:id="rId6" w:history="1">
        <w:r w:rsidR="000865B3" w:rsidRPr="00D45D87">
          <w:rPr>
            <w:rStyle w:val="Hyperlink"/>
          </w:rPr>
          <w:t>http://standwithstandingrock.net/mni-wiconi/</w:t>
        </w:r>
      </w:hyperlink>
      <w:r w:rsidR="000865B3" w:rsidRPr="00B5660D">
        <w:rPr>
          <w:i/>
        </w:rPr>
        <w:t xml:space="preserve">); and one giving the pro-DAPL argument from the perspective of the corporation, Energy Transfer Partners, who built the pipeline (see </w:t>
      </w:r>
      <w:hyperlink r:id="rId7" w:history="1">
        <w:r w:rsidR="000865B3" w:rsidRPr="00B5660D">
          <w:rPr>
            <w:rStyle w:val="Hyperlink"/>
            <w:i/>
          </w:rPr>
          <w:t>https://www.youtube.com/watch?time_continue=28&amp;v=7Se70ZWchog</w:t>
        </w:r>
      </w:hyperlink>
      <w:r w:rsidR="000865B3" w:rsidRPr="00B5660D">
        <w:rPr>
          <w:i/>
        </w:rPr>
        <w:t>). You should already have notes on these videos but feel free to re-watch them and take additional notes if it’s helpful—all can be cited as resources in your paper.</w:t>
      </w:r>
      <w:r w:rsidR="00B5660D" w:rsidRPr="00B5660D">
        <w:rPr>
          <w:i/>
        </w:rPr>
        <w:t xml:space="preserve"> You can also consult the timeline in the piece “A timeline of the Dakota Access oil pipeline” (see </w:t>
      </w:r>
      <w:hyperlink r:id="rId8" w:history="1">
        <w:r w:rsidR="00B5660D" w:rsidRPr="00B5660D">
          <w:rPr>
            <w:rStyle w:val="Hyperlink"/>
            <w:i/>
          </w:rPr>
          <w:t>http://www.chicagotribune.com/sns-bc-us--dakota-access-pipeline-timeline-20171012-story.html</w:t>
        </w:r>
      </w:hyperlink>
      <w:r w:rsidR="00B5660D" w:rsidRPr="00B5660D">
        <w:rPr>
          <w:rStyle w:val="Hyperlink"/>
          <w:i/>
        </w:rPr>
        <w:t xml:space="preserve"> </w:t>
      </w:r>
      <w:r w:rsidR="00B5660D" w:rsidRPr="00B5660D">
        <w:rPr>
          <w:i/>
        </w:rPr>
        <w:t>) to get a basic sense of the sequence of events</w:t>
      </w:r>
      <w:r w:rsidR="00B5660D">
        <w:rPr>
          <w:i/>
        </w:rPr>
        <w:t xml:space="preserve"> (but </w:t>
      </w:r>
      <w:r w:rsidR="00B5660D" w:rsidRPr="00286CA7">
        <w:rPr>
          <w:b/>
          <w:i/>
        </w:rPr>
        <w:t>do not</w:t>
      </w:r>
      <w:r w:rsidR="00B5660D">
        <w:rPr>
          <w:i/>
        </w:rPr>
        <w:t xml:space="preserve"> cite this timeline in your papers)</w:t>
      </w:r>
      <w:r w:rsidR="00B5660D" w:rsidRPr="00B5660D">
        <w:rPr>
          <w:i/>
        </w:rPr>
        <w:t>.</w:t>
      </w:r>
    </w:p>
    <w:p w14:paraId="13FD37A3" w14:textId="03DE3507" w:rsidR="000865B3" w:rsidRDefault="000865B3" w:rsidP="00D50F5F">
      <w:pPr>
        <w:rPr>
          <w:i/>
        </w:rPr>
      </w:pPr>
      <w:r>
        <w:rPr>
          <w:rStyle w:val="Hyperlink"/>
          <w:i/>
          <w:color w:val="auto"/>
          <w:u w:val="none"/>
        </w:rPr>
        <w:t xml:space="preserve">In addition, you </w:t>
      </w:r>
      <w:r>
        <w:rPr>
          <w:rStyle w:val="Hyperlink"/>
          <w:b/>
          <w:i/>
          <w:color w:val="auto"/>
          <w:u w:val="none"/>
        </w:rPr>
        <w:t xml:space="preserve">must </w:t>
      </w:r>
      <w:r>
        <w:rPr>
          <w:rStyle w:val="Hyperlink"/>
          <w:i/>
          <w:color w:val="auto"/>
          <w:u w:val="none"/>
        </w:rPr>
        <w:t xml:space="preserve">cite at least one (more </w:t>
      </w:r>
      <w:r w:rsidR="002B2B40">
        <w:rPr>
          <w:rStyle w:val="Hyperlink"/>
          <w:i/>
          <w:color w:val="auto"/>
          <w:u w:val="none"/>
        </w:rPr>
        <w:t>than one is great</w:t>
      </w:r>
      <w:r w:rsidR="00664583">
        <w:rPr>
          <w:rStyle w:val="Hyperlink"/>
          <w:i/>
          <w:color w:val="auto"/>
          <w:u w:val="none"/>
        </w:rPr>
        <w:t>!</w:t>
      </w:r>
      <w:r>
        <w:rPr>
          <w:rStyle w:val="Hyperlink"/>
          <w:i/>
          <w:color w:val="auto"/>
          <w:u w:val="none"/>
        </w:rPr>
        <w:t>) of the following sources</w:t>
      </w:r>
      <w:r w:rsidR="002B2B40">
        <w:rPr>
          <w:rStyle w:val="Hyperlink"/>
          <w:i/>
          <w:color w:val="auto"/>
          <w:u w:val="none"/>
        </w:rPr>
        <w:t xml:space="preserve"> in your paper. </w:t>
      </w:r>
      <w:r w:rsidR="003679B6">
        <w:rPr>
          <w:rStyle w:val="Hyperlink"/>
          <w:i/>
          <w:color w:val="auto"/>
          <w:u w:val="none"/>
        </w:rPr>
        <w:t>All can be cited using the MLA style for web sites.</w:t>
      </w:r>
    </w:p>
    <w:p w14:paraId="3E2FDCE8" w14:textId="4660F7E6" w:rsidR="00783C4D" w:rsidRDefault="00D50F5F" w:rsidP="00D50F5F">
      <w:pPr>
        <w:pStyle w:val="ListParagraph"/>
        <w:numPr>
          <w:ilvl w:val="0"/>
          <w:numId w:val="2"/>
        </w:numPr>
      </w:pPr>
      <w:r>
        <w:t xml:space="preserve">The article “Taking A Stand at Standing Rock” by </w:t>
      </w:r>
      <w:r w:rsidRPr="00D50F5F">
        <w:t>David Archambault II</w:t>
      </w:r>
      <w:r>
        <w:t xml:space="preserve">, </w:t>
      </w:r>
      <w:r w:rsidRPr="00D50F5F">
        <w:t>chairman of the Standing Rock Sioux tribe</w:t>
      </w:r>
      <w:r w:rsidR="0057104E">
        <w:t xml:space="preserve"> at the time</w:t>
      </w:r>
      <w:r>
        <w:t xml:space="preserve">, ( </w:t>
      </w:r>
      <w:hyperlink r:id="rId9" w:history="1">
        <w:r w:rsidRPr="005E608A">
          <w:rPr>
            <w:rStyle w:val="Hyperlink"/>
          </w:rPr>
          <w:t>https://www.nytimes.com/2016/08/25/opinion/taking-a-stand-at-standing-rock.html?_r=0</w:t>
        </w:r>
      </w:hyperlink>
      <w:r>
        <w:t xml:space="preserve"> ) states the basic case against the Dakota Access Pipeline from the Standing Rock perspective.</w:t>
      </w:r>
    </w:p>
    <w:p w14:paraId="0B722DA1" w14:textId="10DF8B17" w:rsidR="009925C4" w:rsidRPr="00231294" w:rsidRDefault="00631105" w:rsidP="009925C4">
      <w:pPr>
        <w:pStyle w:val="ListParagraph"/>
        <w:numPr>
          <w:ilvl w:val="0"/>
          <w:numId w:val="2"/>
        </w:numPr>
        <w:rPr>
          <w:rStyle w:val="Hyperlink"/>
          <w:color w:val="auto"/>
          <w:u w:val="none"/>
        </w:rPr>
      </w:pPr>
      <w:r>
        <w:t>The web site “Dakota Access Pipeline Facts” (see</w:t>
      </w:r>
      <w:r w:rsidR="009925C4">
        <w:t xml:space="preserve"> </w:t>
      </w:r>
      <w:hyperlink r:id="rId10" w:history="1">
        <w:r w:rsidR="009925C4" w:rsidRPr="000C0669">
          <w:rPr>
            <w:rStyle w:val="Hyperlink"/>
          </w:rPr>
          <w:t>https://daplpipelinefacts.com/</w:t>
        </w:r>
      </w:hyperlink>
      <w:r w:rsidR="009925C4">
        <w:t xml:space="preserve"> </w:t>
      </w:r>
      <w:r>
        <w:t>)</w:t>
      </w:r>
      <w:r w:rsidR="009925C4">
        <w:t xml:space="preserve"> </w:t>
      </w:r>
      <w:r>
        <w:t>gives the pro-pipeline perspective of the Energy Transfer Partners corporation. You can navigate around the site to see their arguments.</w:t>
      </w:r>
    </w:p>
    <w:p w14:paraId="364D41DF" w14:textId="13EAC05C" w:rsidR="009925C4" w:rsidRDefault="00BF25A0" w:rsidP="009925C4">
      <w:pPr>
        <w:pStyle w:val="ListParagraph"/>
        <w:numPr>
          <w:ilvl w:val="0"/>
          <w:numId w:val="2"/>
        </w:numPr>
        <w:rPr>
          <w:rStyle w:val="Hyperlink"/>
          <w:color w:val="auto"/>
          <w:u w:val="none"/>
        </w:rPr>
      </w:pPr>
      <w:r>
        <w:rPr>
          <w:rStyle w:val="Hyperlink"/>
          <w:color w:val="auto"/>
          <w:u w:val="none"/>
        </w:rPr>
        <w:t xml:space="preserve">On the main page of the </w:t>
      </w:r>
      <w:r>
        <w:t xml:space="preserve">“Dakota Access Pipeline Facts” web site in the previous bullet, scroll down and take a look at the map headed “The Dakota Access Pipeline is Not on Standing Rock Land.” </w:t>
      </w:r>
      <w:r>
        <w:rPr>
          <w:rStyle w:val="Hyperlink"/>
          <w:color w:val="auto"/>
          <w:u w:val="none"/>
        </w:rPr>
        <w:t>Then</w:t>
      </w:r>
      <w:r w:rsidR="00D71921">
        <w:rPr>
          <w:rStyle w:val="Hyperlink"/>
          <w:color w:val="auto"/>
          <w:u w:val="none"/>
        </w:rPr>
        <w:t xml:space="preserve"> </w:t>
      </w:r>
      <w:r>
        <w:rPr>
          <w:rStyle w:val="Hyperlink"/>
          <w:color w:val="auto"/>
          <w:u w:val="none"/>
        </w:rPr>
        <w:t xml:space="preserve">look </w:t>
      </w:r>
      <w:r w:rsidR="009925C4">
        <w:rPr>
          <w:rStyle w:val="Hyperlink"/>
          <w:color w:val="auto"/>
          <w:u w:val="none"/>
        </w:rPr>
        <w:t>at</w:t>
      </w:r>
      <w:r>
        <w:rPr>
          <w:rStyle w:val="Hyperlink"/>
          <w:color w:val="auto"/>
          <w:u w:val="none"/>
        </w:rPr>
        <w:t xml:space="preserve"> the map at</w:t>
      </w:r>
      <w:r w:rsidR="009925C4">
        <w:rPr>
          <w:rStyle w:val="Hyperlink"/>
          <w:color w:val="auto"/>
          <w:u w:val="none"/>
        </w:rPr>
        <w:t xml:space="preserve"> </w:t>
      </w:r>
      <w:hyperlink r:id="rId11" w:history="1">
        <w:r w:rsidR="009925C4" w:rsidRPr="00D45D87">
          <w:rPr>
            <w:rStyle w:val="Hyperlink"/>
          </w:rPr>
          <w:t>https://northlandia.wordpress.com/2016/11/01/a-nodapl-map/</w:t>
        </w:r>
      </w:hyperlink>
      <w:r w:rsidR="009925C4">
        <w:rPr>
          <w:rStyle w:val="Hyperlink"/>
          <w:color w:val="auto"/>
          <w:u w:val="none"/>
        </w:rPr>
        <w:t xml:space="preserve"> </w:t>
      </w:r>
      <w:r>
        <w:rPr>
          <w:rStyle w:val="Hyperlink"/>
          <w:color w:val="auto"/>
          <w:u w:val="none"/>
        </w:rPr>
        <w:t>which was made by a supporter of the #</w:t>
      </w:r>
      <w:proofErr w:type="spellStart"/>
      <w:r>
        <w:rPr>
          <w:rStyle w:val="Hyperlink"/>
          <w:color w:val="auto"/>
          <w:u w:val="none"/>
        </w:rPr>
        <w:t>NoDAPL</w:t>
      </w:r>
      <w:proofErr w:type="spellEnd"/>
      <w:r>
        <w:rPr>
          <w:rStyle w:val="Hyperlink"/>
          <w:color w:val="auto"/>
          <w:u w:val="none"/>
        </w:rPr>
        <w:t xml:space="preserve"> movement. How are these two maps different, and what do they reveal about the arguments for and against the Dakota Access Pipeline? You can include any analysis you make in your paper and cite both web pages.</w:t>
      </w:r>
    </w:p>
    <w:p w14:paraId="19ADE2BC" w14:textId="3D613845" w:rsidR="000D1840" w:rsidRPr="00782EE8" w:rsidRDefault="000D1840" w:rsidP="000D1840">
      <w:pPr>
        <w:pStyle w:val="ListParagraph"/>
        <w:numPr>
          <w:ilvl w:val="0"/>
          <w:numId w:val="2"/>
        </w:numPr>
        <w:rPr>
          <w:b/>
          <w:bCs/>
        </w:rPr>
      </w:pPr>
      <w:r>
        <w:t xml:space="preserve">The article </w:t>
      </w:r>
      <w:r w:rsidRPr="00EA335E">
        <w:t>“</w:t>
      </w:r>
      <w:r w:rsidRPr="00EA335E">
        <w:rPr>
          <w:bCs/>
        </w:rPr>
        <w:t xml:space="preserve">An Indian Protest for Everyone” by David </w:t>
      </w:r>
      <w:proofErr w:type="spellStart"/>
      <w:r w:rsidRPr="00EA335E">
        <w:rPr>
          <w:bCs/>
        </w:rPr>
        <w:t>Treuer</w:t>
      </w:r>
      <w:proofErr w:type="spellEnd"/>
      <w:r>
        <w:rPr>
          <w:b/>
          <w:bCs/>
        </w:rPr>
        <w:t xml:space="preserve"> </w:t>
      </w:r>
      <w:r>
        <w:t xml:space="preserve">(see </w:t>
      </w:r>
      <w:hyperlink r:id="rId12" w:history="1">
        <w:r w:rsidRPr="00D45D87">
          <w:rPr>
            <w:rStyle w:val="Hyperlink"/>
          </w:rPr>
          <w:t>http://www.nytimes.com/2016/11/26/opinion/sunday/an-indian-protest-for-everyone.html</w:t>
        </w:r>
      </w:hyperlink>
      <w:r>
        <w:t xml:space="preserve"> ) </w:t>
      </w:r>
      <w:r w:rsidRPr="00A329BD">
        <w:t>explains the goals and concerns of th</w:t>
      </w:r>
      <w:r>
        <w:t>e #</w:t>
      </w:r>
      <w:proofErr w:type="spellStart"/>
      <w:r>
        <w:t>NoDAPL</w:t>
      </w:r>
      <w:proofErr w:type="spellEnd"/>
      <w:r w:rsidRPr="00A329BD">
        <w:t xml:space="preserve"> protest movement and how it compares with past protest movements.</w:t>
      </w:r>
    </w:p>
    <w:p w14:paraId="55B87460" w14:textId="7C3811AA" w:rsidR="00782EE8" w:rsidRPr="000D1840" w:rsidRDefault="00782EE8" w:rsidP="003D2F75">
      <w:pPr>
        <w:pStyle w:val="ListParagraph"/>
        <w:numPr>
          <w:ilvl w:val="0"/>
          <w:numId w:val="2"/>
        </w:numPr>
        <w:rPr>
          <w:rStyle w:val="Hyperlink"/>
          <w:b/>
          <w:bCs/>
          <w:color w:val="auto"/>
          <w:u w:val="none"/>
        </w:rPr>
      </w:pPr>
      <w:r>
        <w:rPr>
          <w:rStyle w:val="Hyperlink"/>
          <w:bCs/>
          <w:color w:val="auto"/>
          <w:u w:val="none"/>
        </w:rPr>
        <w:t xml:space="preserve">While one “water protector” has been sent to prison for his actions during the protests (see </w:t>
      </w:r>
      <w:hyperlink r:id="rId13" w:history="1">
        <w:r w:rsidR="003D2F75" w:rsidRPr="004A1F15">
          <w:rPr>
            <w:rStyle w:val="Hyperlink"/>
            <w:bCs/>
          </w:rPr>
          <w:t>http://www.thenewstribune.com/news/business/article212303594.html</w:t>
        </w:r>
      </w:hyperlink>
      <w:r w:rsidR="003D2F75">
        <w:rPr>
          <w:rStyle w:val="Hyperlink"/>
          <w:bCs/>
          <w:color w:val="auto"/>
          <w:u w:val="none"/>
        </w:rPr>
        <w:t xml:space="preserve"> ), a judge dismissed a complaint that the security company whose employees attacked protestors was operating without a permit (see </w:t>
      </w:r>
      <w:hyperlink r:id="rId14" w:history="1">
        <w:r w:rsidR="003D2F75" w:rsidRPr="004A1F15">
          <w:rPr>
            <w:rStyle w:val="Hyperlink"/>
            <w:bCs/>
          </w:rPr>
          <w:t>http://www.kfyrtv.com/content/news/Judge-dismisses-complaint-against-Dakota-Access-Pipeline-security-company-484076231.html</w:t>
        </w:r>
      </w:hyperlink>
      <w:r w:rsidR="003D2F75">
        <w:rPr>
          <w:rStyle w:val="Hyperlink"/>
          <w:bCs/>
          <w:color w:val="auto"/>
          <w:u w:val="none"/>
        </w:rPr>
        <w:t xml:space="preserve"> )</w:t>
      </w:r>
    </w:p>
    <w:p w14:paraId="707E4126" w14:textId="43AC132F" w:rsidR="00175059" w:rsidRDefault="000806F6" w:rsidP="00DB3D40">
      <w:pPr>
        <w:pStyle w:val="ListParagraph"/>
        <w:numPr>
          <w:ilvl w:val="0"/>
          <w:numId w:val="2"/>
        </w:numPr>
      </w:pPr>
      <w:r>
        <w:lastRenderedPageBreak/>
        <w:t>Now that the Dakota Access Pipeline has been completed and is operational,</w:t>
      </w:r>
      <w:r w:rsidR="009925C4">
        <w:t xml:space="preserve"> </w:t>
      </w:r>
      <w:r>
        <w:t>the</w:t>
      </w:r>
      <w:r w:rsidR="009925C4">
        <w:t xml:space="preserve"> Standing Rock tribe</w:t>
      </w:r>
      <w:r>
        <w:t>s have argued</w:t>
      </w:r>
      <w:r w:rsidR="009925C4">
        <w:t xml:space="preserve"> that Energy Transfer Partners cannot detect leaks on the pipeline, </w:t>
      </w:r>
      <w:r>
        <w:t>(</w:t>
      </w:r>
      <w:r w:rsidR="009925C4">
        <w:t xml:space="preserve">see </w:t>
      </w:r>
      <w:hyperlink r:id="rId15" w:history="1">
        <w:r w:rsidR="009925C4" w:rsidRPr="00D45D87">
          <w:rPr>
            <w:rStyle w:val="Hyperlink"/>
          </w:rPr>
          <w:t>https://insideclimatenews.org/news/09032018/dakota-access-oil-pipeline-leak-detection-technology-standing-rock-water-safety-energy-transfer-partners</w:t>
        </w:r>
      </w:hyperlink>
      <w:r w:rsidR="009925C4">
        <w:t xml:space="preserve"> </w:t>
      </w:r>
      <w:r>
        <w:t>)</w:t>
      </w:r>
      <w:r w:rsidR="009925C4">
        <w:t>.</w:t>
      </w:r>
    </w:p>
    <w:sectPr w:rsidR="00175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103A6"/>
    <w:multiLevelType w:val="hybridMultilevel"/>
    <w:tmpl w:val="D758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0F4500"/>
    <w:multiLevelType w:val="hybridMultilevel"/>
    <w:tmpl w:val="8402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C5"/>
    <w:rsid w:val="000806F6"/>
    <w:rsid w:val="000865B3"/>
    <w:rsid w:val="000D1840"/>
    <w:rsid w:val="001439AC"/>
    <w:rsid w:val="00146DD1"/>
    <w:rsid w:val="00155A51"/>
    <w:rsid w:val="00164E79"/>
    <w:rsid w:val="001729CE"/>
    <w:rsid w:val="00175059"/>
    <w:rsid w:val="00177C72"/>
    <w:rsid w:val="001834D3"/>
    <w:rsid w:val="001B3DCA"/>
    <w:rsid w:val="001E4D88"/>
    <w:rsid w:val="001E70C0"/>
    <w:rsid w:val="001F5177"/>
    <w:rsid w:val="00216A72"/>
    <w:rsid w:val="00220F28"/>
    <w:rsid w:val="00261366"/>
    <w:rsid w:val="00267CD7"/>
    <w:rsid w:val="002825B5"/>
    <w:rsid w:val="00286CA7"/>
    <w:rsid w:val="002A628C"/>
    <w:rsid w:val="002B2B40"/>
    <w:rsid w:val="002C280C"/>
    <w:rsid w:val="002F22C9"/>
    <w:rsid w:val="00301AA2"/>
    <w:rsid w:val="00340976"/>
    <w:rsid w:val="003679B6"/>
    <w:rsid w:val="0037120E"/>
    <w:rsid w:val="003813AF"/>
    <w:rsid w:val="003835FA"/>
    <w:rsid w:val="003B2B47"/>
    <w:rsid w:val="003B414C"/>
    <w:rsid w:val="003D2F75"/>
    <w:rsid w:val="003F1833"/>
    <w:rsid w:val="0040183D"/>
    <w:rsid w:val="00430A45"/>
    <w:rsid w:val="00473128"/>
    <w:rsid w:val="004B36CA"/>
    <w:rsid w:val="004D7E41"/>
    <w:rsid w:val="00515984"/>
    <w:rsid w:val="00515B90"/>
    <w:rsid w:val="00534444"/>
    <w:rsid w:val="00540A17"/>
    <w:rsid w:val="00557846"/>
    <w:rsid w:val="00565A5D"/>
    <w:rsid w:val="0057104E"/>
    <w:rsid w:val="005746AF"/>
    <w:rsid w:val="005A4C4E"/>
    <w:rsid w:val="00622360"/>
    <w:rsid w:val="00630AB9"/>
    <w:rsid w:val="00631105"/>
    <w:rsid w:val="006635E0"/>
    <w:rsid w:val="00664583"/>
    <w:rsid w:val="00696720"/>
    <w:rsid w:val="006C4FD8"/>
    <w:rsid w:val="006E615D"/>
    <w:rsid w:val="006F7A55"/>
    <w:rsid w:val="007030DB"/>
    <w:rsid w:val="00717B4C"/>
    <w:rsid w:val="007678A5"/>
    <w:rsid w:val="00782EE8"/>
    <w:rsid w:val="00783C4D"/>
    <w:rsid w:val="007C41AA"/>
    <w:rsid w:val="007D7B5C"/>
    <w:rsid w:val="007E67E2"/>
    <w:rsid w:val="007F4734"/>
    <w:rsid w:val="00823169"/>
    <w:rsid w:val="00845F38"/>
    <w:rsid w:val="008B3222"/>
    <w:rsid w:val="00904F4F"/>
    <w:rsid w:val="009520F9"/>
    <w:rsid w:val="009925C4"/>
    <w:rsid w:val="00997A82"/>
    <w:rsid w:val="009A45E0"/>
    <w:rsid w:val="009C2E61"/>
    <w:rsid w:val="009F0992"/>
    <w:rsid w:val="00A30966"/>
    <w:rsid w:val="00A329BD"/>
    <w:rsid w:val="00A4355D"/>
    <w:rsid w:val="00A905E3"/>
    <w:rsid w:val="00AC2402"/>
    <w:rsid w:val="00B1579F"/>
    <w:rsid w:val="00B22CB9"/>
    <w:rsid w:val="00B5660D"/>
    <w:rsid w:val="00BA4467"/>
    <w:rsid w:val="00BB206F"/>
    <w:rsid w:val="00BD2281"/>
    <w:rsid w:val="00BD607D"/>
    <w:rsid w:val="00BF25A0"/>
    <w:rsid w:val="00C1140B"/>
    <w:rsid w:val="00C40AF4"/>
    <w:rsid w:val="00C54930"/>
    <w:rsid w:val="00C64B15"/>
    <w:rsid w:val="00C84D9E"/>
    <w:rsid w:val="00C877D0"/>
    <w:rsid w:val="00CA219F"/>
    <w:rsid w:val="00CC57E9"/>
    <w:rsid w:val="00D06E2D"/>
    <w:rsid w:val="00D15707"/>
    <w:rsid w:val="00D329C5"/>
    <w:rsid w:val="00D34DDD"/>
    <w:rsid w:val="00D50F5F"/>
    <w:rsid w:val="00D71921"/>
    <w:rsid w:val="00DB3D40"/>
    <w:rsid w:val="00DB78EC"/>
    <w:rsid w:val="00DD7A95"/>
    <w:rsid w:val="00E116BD"/>
    <w:rsid w:val="00E16895"/>
    <w:rsid w:val="00E326F3"/>
    <w:rsid w:val="00E829D4"/>
    <w:rsid w:val="00E92395"/>
    <w:rsid w:val="00EA335E"/>
    <w:rsid w:val="00EA705A"/>
    <w:rsid w:val="00EC152D"/>
    <w:rsid w:val="00EC53B3"/>
    <w:rsid w:val="00F43365"/>
    <w:rsid w:val="00FA3AC4"/>
    <w:rsid w:val="00FF4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BCC94"/>
  <w15:chartTrackingRefBased/>
  <w15:docId w15:val="{FF6C6D67-39DC-4CEC-A34D-C2DE80BE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3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E2D"/>
    <w:pPr>
      <w:ind w:left="720"/>
      <w:contextualSpacing/>
    </w:pPr>
  </w:style>
  <w:style w:type="character" w:styleId="Hyperlink">
    <w:name w:val="Hyperlink"/>
    <w:basedOn w:val="DefaultParagraphFont"/>
    <w:uiPriority w:val="99"/>
    <w:unhideWhenUsed/>
    <w:rsid w:val="00177C72"/>
    <w:rPr>
      <w:color w:val="0563C1" w:themeColor="hyperlink"/>
      <w:u w:val="single"/>
    </w:rPr>
  </w:style>
  <w:style w:type="character" w:styleId="UnresolvedMention">
    <w:name w:val="Unresolved Mention"/>
    <w:basedOn w:val="DefaultParagraphFont"/>
    <w:uiPriority w:val="99"/>
    <w:semiHidden/>
    <w:unhideWhenUsed/>
    <w:rsid w:val="00177C72"/>
    <w:rPr>
      <w:color w:val="808080"/>
      <w:shd w:val="clear" w:color="auto" w:fill="E6E6E6"/>
    </w:rPr>
  </w:style>
  <w:style w:type="character" w:customStyle="1" w:styleId="Heading1Char">
    <w:name w:val="Heading 1 Char"/>
    <w:basedOn w:val="DefaultParagraphFont"/>
    <w:link w:val="Heading1"/>
    <w:uiPriority w:val="9"/>
    <w:rsid w:val="00EA335E"/>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3F18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265998">
      <w:bodyDiv w:val="1"/>
      <w:marLeft w:val="0"/>
      <w:marRight w:val="0"/>
      <w:marTop w:val="0"/>
      <w:marBottom w:val="0"/>
      <w:divBdr>
        <w:top w:val="none" w:sz="0" w:space="0" w:color="auto"/>
        <w:left w:val="none" w:sz="0" w:space="0" w:color="auto"/>
        <w:bottom w:val="none" w:sz="0" w:space="0" w:color="auto"/>
        <w:right w:val="none" w:sz="0" w:space="0" w:color="auto"/>
      </w:divBdr>
      <w:divsChild>
        <w:div w:id="217590600">
          <w:marLeft w:val="0"/>
          <w:marRight w:val="0"/>
          <w:marTop w:val="0"/>
          <w:marBottom w:val="300"/>
          <w:divBdr>
            <w:top w:val="none" w:sz="0" w:space="0" w:color="auto"/>
            <w:left w:val="none" w:sz="0" w:space="0" w:color="auto"/>
            <w:bottom w:val="none" w:sz="0" w:space="0" w:color="auto"/>
            <w:right w:val="none" w:sz="0" w:space="0" w:color="auto"/>
          </w:divBdr>
          <w:divsChild>
            <w:div w:id="1288202768">
              <w:marLeft w:val="0"/>
              <w:marRight w:val="0"/>
              <w:marTop w:val="0"/>
              <w:marBottom w:val="0"/>
              <w:divBdr>
                <w:top w:val="none" w:sz="0" w:space="0" w:color="auto"/>
                <w:left w:val="none" w:sz="0" w:space="0" w:color="auto"/>
                <w:bottom w:val="none" w:sz="0" w:space="0" w:color="auto"/>
                <w:right w:val="none" w:sz="0" w:space="0" w:color="auto"/>
              </w:divBdr>
              <w:divsChild>
                <w:div w:id="536351751">
                  <w:marLeft w:val="0"/>
                  <w:marRight w:val="0"/>
                  <w:marTop w:val="0"/>
                  <w:marBottom w:val="150"/>
                  <w:divBdr>
                    <w:top w:val="none" w:sz="0" w:space="0" w:color="auto"/>
                    <w:left w:val="none" w:sz="0" w:space="0" w:color="auto"/>
                    <w:bottom w:val="none" w:sz="0" w:space="0" w:color="auto"/>
                    <w:right w:val="none" w:sz="0" w:space="0" w:color="auto"/>
                  </w:divBdr>
                  <w:divsChild>
                    <w:div w:id="77860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agotribune.com/sns-bc-us--dakota-access-pipeline-timeline-20171012-story.html" TargetMode="External"/><Relationship Id="rId13" Type="http://schemas.openxmlformats.org/officeDocument/2006/relationships/hyperlink" Target="http://www.thenewstribune.com/news/business/article212303594.html" TargetMode="External"/><Relationship Id="rId3" Type="http://schemas.openxmlformats.org/officeDocument/2006/relationships/settings" Target="settings.xml"/><Relationship Id="rId7" Type="http://schemas.openxmlformats.org/officeDocument/2006/relationships/hyperlink" Target="https://www.youtube.com/watch?time_continue=28&amp;v=7Se70ZWchog" TargetMode="External"/><Relationship Id="rId12" Type="http://schemas.openxmlformats.org/officeDocument/2006/relationships/hyperlink" Target="http://www.nytimes.com/2016/11/26/opinion/sunday/an-indian-protest-for-everyon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ndwithstandingrock.net/mni-wiconi/" TargetMode="External"/><Relationship Id="rId11" Type="http://schemas.openxmlformats.org/officeDocument/2006/relationships/hyperlink" Target="https://northlandia.wordpress.com/2016/11/01/a-nodapl-map/" TargetMode="External"/><Relationship Id="rId5" Type="http://schemas.openxmlformats.org/officeDocument/2006/relationships/hyperlink" Target="https://www.revealnews.org/article/the-land-beneath-the-lake/" TargetMode="External"/><Relationship Id="rId15" Type="http://schemas.openxmlformats.org/officeDocument/2006/relationships/hyperlink" Target="https://insideclimatenews.org/news/09032018/dakota-access-oil-pipeline-leak-detection-technology-standing-rock-water-safety-energy-transfer-partners" TargetMode="External"/><Relationship Id="rId10" Type="http://schemas.openxmlformats.org/officeDocument/2006/relationships/hyperlink" Target="https://daplpipelinefacts.com/" TargetMode="External"/><Relationship Id="rId4" Type="http://schemas.openxmlformats.org/officeDocument/2006/relationships/webSettings" Target="webSettings.xml"/><Relationship Id="rId9" Type="http://schemas.openxmlformats.org/officeDocument/2006/relationships/hyperlink" Target="https://www.nytimes.com/2016/08/25/opinion/taking-a-stand-at-standing-rock.html?_r=0" TargetMode="External"/><Relationship Id="rId14" Type="http://schemas.openxmlformats.org/officeDocument/2006/relationships/hyperlink" Target="http://www.kfyrtv.com/content/news/Judge-dismisses-complaint-against-Dakota-Access-Pipeline-security-company-4840762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2634</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Johnson</dc:creator>
  <cp:keywords/>
  <dc:description/>
  <cp:lastModifiedBy>Geoff Johnson</cp:lastModifiedBy>
  <cp:revision>102</cp:revision>
  <dcterms:created xsi:type="dcterms:W3CDTF">2018-03-31T15:02:00Z</dcterms:created>
  <dcterms:modified xsi:type="dcterms:W3CDTF">2018-06-07T13:15:00Z</dcterms:modified>
</cp:coreProperties>
</file>